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7F0DFE" w:rsidP="007F0DFE">
      <w:pPr>
        <w:spacing w:after="0" w:line="240" w:lineRule="auto"/>
        <w:jc w:val="center"/>
        <w:rPr>
          <w:b/>
          <w:sz w:val="32"/>
          <w:lang w:val="ro-RO"/>
        </w:rPr>
      </w:pPr>
    </w:p>
    <w:p w:rsidR="00C04641" w:rsidRPr="00FC1238" w:rsidRDefault="007F0DFE" w:rsidP="007F0DFE">
      <w:pPr>
        <w:spacing w:after="0" w:line="240" w:lineRule="auto"/>
        <w:jc w:val="center"/>
        <w:rPr>
          <w:b/>
          <w:color w:val="006666"/>
          <w:sz w:val="32"/>
          <w:lang w:val="ro-RO"/>
        </w:rPr>
      </w:pPr>
      <w:r w:rsidRPr="00FC1238">
        <w:rPr>
          <w:b/>
          <w:color w:val="006666"/>
          <w:sz w:val="32"/>
          <w:lang w:val="ro-RO"/>
        </w:rPr>
        <w:t>Detalii tehnice si financiare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lang w:val="ro-RO"/>
        </w:rPr>
      </w:pPr>
      <w:r w:rsidRPr="00FC1238">
        <w:rPr>
          <w:color w:val="006666"/>
          <w:lang w:val="ro-RO"/>
        </w:rPr>
        <w:t xml:space="preserve">Anexa Cerere de Finantare 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sz w:val="24"/>
          <w:lang w:val="ro-RO"/>
        </w:rPr>
      </w:pPr>
    </w:p>
    <w:p w:rsidR="007F0DFE" w:rsidRPr="007F0DFE" w:rsidRDefault="007F0DFE" w:rsidP="007F0DFE">
      <w:pPr>
        <w:spacing w:after="0" w:line="240" w:lineRule="auto"/>
        <w:jc w:val="right"/>
        <w:rPr>
          <w:sz w:val="24"/>
          <w:lang w:val="ro-RO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853"/>
        <w:gridCol w:w="750"/>
        <w:gridCol w:w="1908"/>
        <w:gridCol w:w="2696"/>
      </w:tblGrid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Actiuni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Dezvoltare de noi produse, practici, procese si tehnologii in sectoarele agricole si alimentare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Cooperare pe orizontala si verticala intre actorii din lantul de aprovizionare (lanturi scurte) si piete locale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3. </w:t>
            </w:r>
            <w:r w:rsidRPr="00FC1238">
              <w:rPr>
                <w:color w:val="006666"/>
                <w:lang w:val="ro-RO"/>
              </w:rPr>
              <w:t>Cooperare intre actorii locali pentru incurajarea diversificarii activitatii agricole in directia activitatilor privind sanatatea, integrarea sociala, agricultura sprijinita de comunitate si educatie cu privire la mediu si alimentatie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actiuni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Cheltuieli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color w:val="006666"/>
                <w:lang w:val="ro-RO"/>
              </w:rPr>
              <w:t>Studii/planuri, costuri generale ale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color w:val="006666"/>
                <w:lang w:val="ro-RO"/>
              </w:rPr>
              <w:t xml:space="preserve">Costuri de functionare a cooperarii </w:t>
            </w:r>
            <w:r w:rsidRPr="00FC1238">
              <w:rPr>
                <w:i/>
                <w:color w:val="006666"/>
                <w:lang w:val="ro-RO"/>
              </w:rPr>
              <w:t>(maxim 20% din valoarea totala eligibila a proiectului, pentru proiectele care cuprind si investitii ce nu sunt finantate prin masura M2)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>3.</w:t>
            </w:r>
            <w:r w:rsidRPr="00FC1238">
              <w:rPr>
                <w:color w:val="006666"/>
                <w:lang w:val="ro-RO"/>
              </w:rPr>
              <w:t xml:space="preserve"> Costuri directe ale proiectelor specifice, care cuprind: 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promovare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marketing legate de etichetare si ambalare produs, creare marc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 xml:space="preserve"> inregistrat</w:t>
            </w:r>
            <w:r>
              <w:rPr>
                <w:color w:val="006666"/>
                <w:lang w:val="ro-RO"/>
              </w:rPr>
              <w:t>a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  <w:bookmarkStart w:id="0" w:name="_GoBack"/>
            <w:bookmarkEnd w:id="0"/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Investi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noi sau modernizrea de construc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ii de produc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ie, echipamente, utilaje necesare implement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>rii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Aplicatii software adecvate activitatii din proiect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Onorarii ale personalului, partenerilor, colaboratorilor,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ilor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cheltuieli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</w:tbl>
    <w:p w:rsidR="007F0DFE" w:rsidRPr="007F0DFE" w:rsidRDefault="007F0DFE" w:rsidP="007F0DFE">
      <w:pPr>
        <w:spacing w:after="0" w:line="240" w:lineRule="auto"/>
        <w:jc w:val="both"/>
        <w:rPr>
          <w:b/>
          <w:lang w:val="ro-RO"/>
        </w:rPr>
      </w:pPr>
    </w:p>
    <w:sectPr w:rsidR="007F0DFE" w:rsidRPr="007F0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E38"/>
    <w:multiLevelType w:val="hybridMultilevel"/>
    <w:tmpl w:val="688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5"/>
    <w:rsid w:val="007F0DFE"/>
    <w:rsid w:val="00922765"/>
    <w:rsid w:val="00C04641"/>
    <w:rsid w:val="00E06F44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2018-05-08T06:58:00Z</dcterms:created>
  <dcterms:modified xsi:type="dcterms:W3CDTF">2018-05-08T08:15:00Z</dcterms:modified>
</cp:coreProperties>
</file>